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F9A20" w14:textId="77777777" w:rsidR="000570F7" w:rsidRDefault="0005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640</w:t>
      </w:r>
    </w:p>
    <w:p w14:paraId="57440D06" w14:textId="77777777" w:rsidR="000C6431" w:rsidRDefault="000C6431" w:rsidP="000C6431">
      <w:pPr>
        <w:pStyle w:val="Heading3"/>
      </w:pPr>
      <w:hyperlink r:id="rId5" w:history="1">
        <w:r>
          <w:rPr>
            <w:rStyle w:val="Hyperlink"/>
          </w:rPr>
          <w:t>Session 9: Discussion Topics</w:t>
        </w:r>
      </w:hyperlink>
      <w:r>
        <w:t xml:space="preserve"> </w:t>
      </w:r>
    </w:p>
    <w:p w14:paraId="68B47246" w14:textId="77777777" w:rsidR="000C6431" w:rsidRDefault="000C6431" w:rsidP="000C6431">
      <w:pPr>
        <w:pStyle w:val="NormalWeb"/>
        <w:rPr>
          <w:b/>
          <w:bCs/>
        </w:rPr>
      </w:pPr>
      <w:r>
        <w:rPr>
          <w:b/>
          <w:bCs/>
        </w:rPr>
        <w:t>1. What is relevant range? </w:t>
      </w:r>
    </w:p>
    <w:p w14:paraId="6D90D220" w14:textId="77777777" w:rsidR="000C6431" w:rsidRDefault="000C6431" w:rsidP="000C6431">
      <w:pPr>
        <w:pStyle w:val="NormalWeb"/>
        <w:rPr>
          <w:b/>
          <w:bCs/>
        </w:rPr>
      </w:pPr>
      <w:r>
        <w:rPr>
          <w:b/>
          <w:bCs/>
        </w:rPr>
        <w:t>2. Give two examples of costs that are variable costs and two examples of fixed costs. </w:t>
      </w:r>
    </w:p>
    <w:p w14:paraId="2E6DC5A6" w14:textId="77777777" w:rsidR="000C6431" w:rsidRDefault="000C6431" w:rsidP="000C643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B42D946" w14:textId="77777777" w:rsidR="000C6431" w:rsidRDefault="000C6431" w:rsidP="0075452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A457FC8" w14:textId="77777777" w:rsidR="000C6431" w:rsidRDefault="000C6431" w:rsidP="0075452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B87345" w14:textId="1E95F786" w:rsidR="00106B41" w:rsidRPr="00754521" w:rsidRDefault="00754521" w:rsidP="0075452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54521">
        <w:rPr>
          <w:rFonts w:ascii="Times New Roman" w:hAnsi="Times New Roman" w:cs="Times New Roman"/>
          <w:b/>
          <w:bCs/>
          <w:sz w:val="24"/>
          <w:szCs w:val="24"/>
          <w:u w:val="single"/>
        </w:rPr>
        <w:t>Week 9 - Cost-Volume-Profit Analysis</w:t>
      </w:r>
    </w:p>
    <w:p w14:paraId="622B205D" w14:textId="77777777" w:rsidR="0082797B" w:rsidRPr="004007CA" w:rsidRDefault="000C6431" w:rsidP="00C934E6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hyperlink r:id="rId6" w:history="1">
        <w:r w:rsidR="004007CA" w:rsidRPr="004007CA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https://www.khanacademy.org/economics-finance-domain/microeconomics/firm-economic-profit/average-costs-tutorial/v/fixed-variable-and-marginal-cost</w:t>
        </w:r>
      </w:hyperlink>
    </w:p>
    <w:p w14:paraId="2B858B32" w14:textId="77777777" w:rsidR="00A909E6" w:rsidRPr="00A909E6" w:rsidRDefault="00A909E6" w:rsidP="00A909E6">
      <w:pPr>
        <w:rPr>
          <w:rFonts w:ascii="Times New Roman" w:hAnsi="Times New Roman" w:cs="Times New Roman"/>
          <w:b/>
          <w:sz w:val="24"/>
          <w:szCs w:val="24"/>
        </w:rPr>
      </w:pPr>
      <w:r w:rsidRPr="00A909E6">
        <w:rPr>
          <w:rFonts w:ascii="Times New Roman" w:hAnsi="Times New Roman" w:cs="Times New Roman"/>
          <w:b/>
          <w:sz w:val="24"/>
          <w:szCs w:val="24"/>
        </w:rPr>
        <w:t>High-Low Method –</w:t>
      </w:r>
    </w:p>
    <w:p w14:paraId="3D39B6DC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http://accountingexplained.com/managerial/cost-behavior/high-low-method</w:t>
        </w:r>
      </w:hyperlink>
    </w:p>
    <w:p w14:paraId="6A28EA83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8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http://www.unf.edu/~dtanner/StudyHall2071/SG/highlowmethod.htm</w:t>
        </w:r>
      </w:hyperlink>
    </w:p>
    <w:p w14:paraId="3EB9A691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9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http://www.myaccountingcourse.com/accounting-dictionary/high-low-cost-method</w:t>
        </w:r>
      </w:hyperlink>
    </w:p>
    <w:p w14:paraId="7337CFA1" w14:textId="77777777" w:rsidR="00A909E6" w:rsidRPr="00A909E6" w:rsidRDefault="00A909E6" w:rsidP="00A909E6">
      <w:pPr>
        <w:rPr>
          <w:rFonts w:ascii="Times New Roman" w:hAnsi="Times New Roman" w:cs="Times New Roman"/>
          <w:bCs/>
          <w:sz w:val="24"/>
          <w:szCs w:val="24"/>
        </w:rPr>
      </w:pPr>
      <w:r w:rsidRPr="00A909E6">
        <w:rPr>
          <w:rFonts w:ascii="Times New Roman" w:hAnsi="Times New Roman" w:cs="Times New Roman"/>
          <w:b/>
          <w:sz w:val="24"/>
          <w:szCs w:val="24"/>
        </w:rPr>
        <w:t>Contribution Margin and Ratio –</w:t>
      </w:r>
    </w:p>
    <w:p w14:paraId="3F255437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http://www.financeformulas.net/Contribution-Margin.html</w:t>
        </w:r>
      </w:hyperlink>
    </w:p>
    <w:p w14:paraId="161C9E38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1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http://accountingexplained.com/managerial/cvp-analysis/contribution-margin</w:t>
        </w:r>
      </w:hyperlink>
    </w:p>
    <w:p w14:paraId="62EE94D2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2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http://www.accountingdetails.com/contribution_margin_ratio.htm</w:t>
        </w:r>
      </w:hyperlink>
    </w:p>
    <w:p w14:paraId="75D02B41" w14:textId="77777777" w:rsidR="00A909E6" w:rsidRPr="00A909E6" w:rsidRDefault="00A909E6" w:rsidP="00A909E6">
      <w:pPr>
        <w:rPr>
          <w:rFonts w:ascii="Times New Roman" w:hAnsi="Times New Roman" w:cs="Times New Roman"/>
          <w:b/>
          <w:sz w:val="24"/>
          <w:szCs w:val="24"/>
        </w:rPr>
      </w:pPr>
      <w:r w:rsidRPr="00A909E6">
        <w:rPr>
          <w:rFonts w:ascii="Times New Roman" w:hAnsi="Times New Roman" w:cs="Times New Roman"/>
          <w:b/>
          <w:sz w:val="24"/>
          <w:szCs w:val="24"/>
        </w:rPr>
        <w:t>Break-even analysis:</w:t>
      </w:r>
    </w:p>
    <w:p w14:paraId="4E185D31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3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https://www.thebalance.com/how-to-do-a-breakeven-analysis-1200834</w:t>
        </w:r>
      </w:hyperlink>
    </w:p>
    <w:p w14:paraId="17BBEEF4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4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http://accountingexplained.com/managerial/cvp-analysis/break-even-point-equation-method</w:t>
        </w:r>
      </w:hyperlink>
    </w:p>
    <w:p w14:paraId="1FCACB6D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5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http://www.witiger.com/marketing/breakevenanalysis.htm</w:t>
        </w:r>
      </w:hyperlink>
    </w:p>
    <w:p w14:paraId="03FBA92A" w14:textId="68957245" w:rsidR="000843A3" w:rsidRP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6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http://www.accountingformanagement.org/break-even-point-analysis/</w:t>
        </w:r>
      </w:hyperlink>
    </w:p>
    <w:p w14:paraId="1F20AD07" w14:textId="77777777" w:rsidR="00A909E6" w:rsidRPr="00A909E6" w:rsidRDefault="00A909E6" w:rsidP="00A909E6">
      <w:pPr>
        <w:rPr>
          <w:rFonts w:ascii="Times New Roman" w:hAnsi="Times New Roman" w:cs="Times New Roman"/>
          <w:b/>
          <w:sz w:val="24"/>
          <w:szCs w:val="24"/>
        </w:rPr>
      </w:pPr>
      <w:r w:rsidRPr="00A909E6">
        <w:rPr>
          <w:rFonts w:ascii="Times New Roman" w:hAnsi="Times New Roman" w:cs="Times New Roman"/>
          <w:b/>
          <w:sz w:val="24"/>
          <w:szCs w:val="24"/>
        </w:rPr>
        <w:t>Margin of Safety:</w:t>
      </w:r>
    </w:p>
    <w:p w14:paraId="439AA981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7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http://www.myaccountingcourse.com/financial-ratios/margin-of-safety</w:t>
        </w:r>
      </w:hyperlink>
    </w:p>
    <w:p w14:paraId="1F658A0A" w14:textId="77777777" w:rsidR="00A909E6" w:rsidRDefault="000C6431" w:rsidP="00A909E6">
      <w:pPr>
        <w:rPr>
          <w:rFonts w:ascii="Times New Roman" w:hAnsi="Times New Roman" w:cs="Times New Roman"/>
          <w:bCs/>
          <w:sz w:val="24"/>
          <w:szCs w:val="24"/>
        </w:rPr>
      </w:pPr>
      <w:hyperlink r:id="rId18" w:history="1">
        <w:r w:rsidR="00A909E6" w:rsidRPr="00425A7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http://www.accountingformanagement.org/margin-of-safety</w:t>
        </w:r>
      </w:hyperlink>
    </w:p>
    <w:p w14:paraId="156D62C0" w14:textId="77777777" w:rsidR="00C934E6" w:rsidRPr="00920632" w:rsidRDefault="00C934E6" w:rsidP="00C934E6">
      <w:pPr>
        <w:rPr>
          <w:rFonts w:ascii="Times New Roman" w:hAnsi="Times New Roman" w:cs="Times New Roman"/>
          <w:b/>
          <w:sz w:val="24"/>
          <w:szCs w:val="24"/>
        </w:rPr>
      </w:pPr>
      <w:r w:rsidRPr="00920632">
        <w:rPr>
          <w:rFonts w:ascii="Times New Roman" w:hAnsi="Times New Roman" w:cs="Times New Roman"/>
          <w:b/>
          <w:sz w:val="24"/>
          <w:szCs w:val="24"/>
        </w:rPr>
        <w:t>Week 9 documents:</w:t>
      </w:r>
    </w:p>
    <w:p w14:paraId="20720D4F" w14:textId="77777777" w:rsidR="003C2E27" w:rsidRPr="00920632" w:rsidRDefault="003C2E27" w:rsidP="00C934E6">
      <w:pPr>
        <w:rPr>
          <w:rFonts w:ascii="Times New Roman" w:hAnsi="Times New Roman" w:cs="Times New Roman"/>
          <w:sz w:val="24"/>
          <w:szCs w:val="24"/>
        </w:rPr>
      </w:pPr>
      <w:r w:rsidRPr="00920632">
        <w:rPr>
          <w:rFonts w:ascii="Times New Roman" w:hAnsi="Times New Roman" w:cs="Times New Roman"/>
          <w:sz w:val="24"/>
          <w:szCs w:val="24"/>
        </w:rPr>
        <w:t>Article 1:</w:t>
      </w:r>
    </w:p>
    <w:p w14:paraId="527553F5" w14:textId="77777777" w:rsidR="003C2E27" w:rsidRPr="00920632" w:rsidRDefault="003C2E27" w:rsidP="003C2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20632">
        <w:rPr>
          <w:rFonts w:ascii="Times New Roman" w:hAnsi="Times New Roman" w:cs="Times New Roman"/>
          <w:sz w:val="24"/>
          <w:szCs w:val="24"/>
        </w:rPr>
        <w:lastRenderedPageBreak/>
        <w:t>Machuga</w:t>
      </w:r>
      <w:proofErr w:type="spellEnd"/>
      <w:r w:rsidRPr="00920632">
        <w:rPr>
          <w:rFonts w:ascii="Times New Roman" w:hAnsi="Times New Roman" w:cs="Times New Roman"/>
          <w:sz w:val="24"/>
          <w:szCs w:val="24"/>
        </w:rPr>
        <w:t xml:space="preserve">, S., Smith, C. (2013).  </w:t>
      </w:r>
      <w:r w:rsidRPr="00920632">
        <w:rPr>
          <w:rFonts w:ascii="Times New Roman" w:hAnsi="Times New Roman" w:cs="Times New Roman"/>
          <w:bCs/>
          <w:sz w:val="24"/>
          <w:szCs w:val="24"/>
        </w:rPr>
        <w:t>A Case Method Approach of Teaching How Cost-Volume-Profit Analysis is Connected to the Flexible Budgeting Process and Variance Analysis. Journal of Accounting and Finance, 13 (6), 178-192.</w:t>
      </w:r>
    </w:p>
    <w:p w14:paraId="7A22CA0C" w14:textId="77777777" w:rsidR="003C2E27" w:rsidRPr="00920632" w:rsidRDefault="003C2E27" w:rsidP="003C2E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3AE2BB7" w14:textId="77777777" w:rsidR="003C2E27" w:rsidRPr="00920632" w:rsidRDefault="003C2E27" w:rsidP="00C934E6">
      <w:pPr>
        <w:rPr>
          <w:rFonts w:ascii="Times New Roman" w:hAnsi="Times New Roman" w:cs="Times New Roman"/>
          <w:sz w:val="24"/>
          <w:szCs w:val="24"/>
        </w:rPr>
      </w:pPr>
      <w:r w:rsidRPr="00920632">
        <w:rPr>
          <w:rFonts w:ascii="Times New Roman" w:hAnsi="Times New Roman" w:cs="Times New Roman"/>
          <w:sz w:val="24"/>
          <w:szCs w:val="24"/>
        </w:rPr>
        <w:t>Article 2:</w:t>
      </w:r>
    </w:p>
    <w:p w14:paraId="6BCFE0F9" w14:textId="77777777" w:rsidR="00F00835" w:rsidRPr="00920632" w:rsidRDefault="003C2E27" w:rsidP="00F00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31F20"/>
          <w:sz w:val="24"/>
          <w:szCs w:val="24"/>
        </w:rPr>
      </w:pPr>
      <w:r w:rsidRPr="00920632">
        <w:rPr>
          <w:rFonts w:ascii="Times New Roman" w:hAnsi="Times New Roman" w:cs="Times New Roman"/>
          <w:color w:val="231F20"/>
          <w:sz w:val="24"/>
          <w:szCs w:val="24"/>
        </w:rPr>
        <w:t>Stout, D.E. (</w:t>
      </w:r>
      <w:r w:rsidR="00F00835" w:rsidRPr="00920632">
        <w:rPr>
          <w:rFonts w:ascii="Times New Roman" w:hAnsi="Times New Roman" w:cs="Times New Roman"/>
          <w:color w:val="231F20"/>
          <w:sz w:val="24"/>
          <w:szCs w:val="24"/>
        </w:rPr>
        <w:t>2014</w:t>
      </w:r>
      <w:r w:rsidRPr="00920632">
        <w:rPr>
          <w:rFonts w:ascii="Times New Roman" w:hAnsi="Times New Roman" w:cs="Times New Roman"/>
          <w:color w:val="231F20"/>
          <w:sz w:val="24"/>
          <w:szCs w:val="24"/>
        </w:rPr>
        <w:t>)</w:t>
      </w:r>
      <w:r w:rsidR="00F00835" w:rsidRPr="00920632">
        <w:rPr>
          <w:rFonts w:ascii="Times New Roman" w:hAnsi="Times New Roman" w:cs="Times New Roman"/>
          <w:color w:val="231F20"/>
          <w:sz w:val="24"/>
          <w:szCs w:val="24"/>
        </w:rPr>
        <w:t xml:space="preserve">. </w:t>
      </w:r>
      <w:r w:rsidRPr="00920632">
        <w:rPr>
          <w:rFonts w:ascii="Times New Roman" w:hAnsi="Times New Roman" w:cs="Times New Roman"/>
          <w:color w:val="231F20"/>
          <w:sz w:val="24"/>
          <w:szCs w:val="24"/>
        </w:rPr>
        <w:t>Pack-and-Go Delivery Service: A Multi-Com</w:t>
      </w:r>
      <w:r w:rsidR="00F00835" w:rsidRPr="00920632">
        <w:rPr>
          <w:rFonts w:ascii="Times New Roman" w:hAnsi="Times New Roman" w:cs="Times New Roman"/>
          <w:color w:val="231F20"/>
          <w:sz w:val="24"/>
          <w:szCs w:val="24"/>
        </w:rPr>
        <w:t xml:space="preserve">ponent Cost-Volume-Profit (CVP) </w:t>
      </w:r>
      <w:r w:rsidRPr="00920632">
        <w:rPr>
          <w:rFonts w:ascii="Times New Roman" w:hAnsi="Times New Roman" w:cs="Times New Roman"/>
          <w:color w:val="231F20"/>
          <w:sz w:val="24"/>
          <w:szCs w:val="24"/>
        </w:rPr>
        <w:t>Learning Resource</w:t>
      </w:r>
      <w:r w:rsidR="00F00835" w:rsidRPr="00920632">
        <w:rPr>
          <w:rFonts w:ascii="Times New Roman" w:hAnsi="Times New Roman" w:cs="Times New Roman"/>
          <w:color w:val="231F20"/>
          <w:sz w:val="24"/>
          <w:szCs w:val="24"/>
        </w:rPr>
        <w:t>.  Accounting Educ</w:t>
      </w:r>
      <w:r w:rsidR="00651DD9" w:rsidRPr="00920632">
        <w:rPr>
          <w:rFonts w:ascii="Times New Roman" w:hAnsi="Times New Roman" w:cs="Times New Roman"/>
          <w:color w:val="231F20"/>
          <w:sz w:val="24"/>
          <w:szCs w:val="24"/>
        </w:rPr>
        <w:t xml:space="preserve">ation: an international journal, </w:t>
      </w:r>
      <w:r w:rsidR="00F00835" w:rsidRPr="00920632">
        <w:rPr>
          <w:rFonts w:ascii="Times New Roman" w:hAnsi="Times New Roman" w:cs="Times New Roman"/>
          <w:color w:val="231F20"/>
          <w:sz w:val="24"/>
          <w:szCs w:val="24"/>
        </w:rPr>
        <w:t>23(1), 75-94.</w:t>
      </w:r>
    </w:p>
    <w:p w14:paraId="20F693F7" w14:textId="77777777" w:rsidR="0082797B" w:rsidRP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AdvPTimesB" w:hAnsi="AdvPTimesB" w:cs="AdvPTimesB"/>
          <w:b/>
          <w:sz w:val="32"/>
          <w:szCs w:val="32"/>
        </w:rPr>
      </w:pPr>
    </w:p>
    <w:sectPr w:rsidR="0082797B" w:rsidRPr="0082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TimesB">
    <w:altName w:val="Calibr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843A3"/>
    <w:rsid w:val="000C6431"/>
    <w:rsid w:val="000E44F4"/>
    <w:rsid w:val="00106B41"/>
    <w:rsid w:val="00150E84"/>
    <w:rsid w:val="001A70AE"/>
    <w:rsid w:val="0022702E"/>
    <w:rsid w:val="00266EC3"/>
    <w:rsid w:val="003C2E27"/>
    <w:rsid w:val="004007CA"/>
    <w:rsid w:val="00493298"/>
    <w:rsid w:val="004F18F5"/>
    <w:rsid w:val="00571AFE"/>
    <w:rsid w:val="005F28CD"/>
    <w:rsid w:val="00603C1C"/>
    <w:rsid w:val="00651DD9"/>
    <w:rsid w:val="0075441E"/>
    <w:rsid w:val="00754521"/>
    <w:rsid w:val="0082797B"/>
    <w:rsid w:val="009149CD"/>
    <w:rsid w:val="00920632"/>
    <w:rsid w:val="00A909E6"/>
    <w:rsid w:val="00AC5586"/>
    <w:rsid w:val="00AE0C45"/>
    <w:rsid w:val="00C934E6"/>
    <w:rsid w:val="00CB28FA"/>
    <w:rsid w:val="00D36B88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09A70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C64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09E6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0C643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6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f.edu/~dtanner/StudyHall2071/SG/highlowmethod.htm" TargetMode="External"/><Relationship Id="rId13" Type="http://schemas.openxmlformats.org/officeDocument/2006/relationships/hyperlink" Target="https://www.thebalance.com/how-to-do-a-breakeven-analysis-1200834" TargetMode="External"/><Relationship Id="rId18" Type="http://schemas.openxmlformats.org/officeDocument/2006/relationships/hyperlink" Target="http://www.accountingformanagement.org/margin-of-safet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ccountingexplained.com/managerial/cost-behavior/high-low-method" TargetMode="External"/><Relationship Id="rId12" Type="http://schemas.openxmlformats.org/officeDocument/2006/relationships/hyperlink" Target="http://www.accountingdetails.com/contribution_margin_ratio.htm" TargetMode="External"/><Relationship Id="rId17" Type="http://schemas.openxmlformats.org/officeDocument/2006/relationships/hyperlink" Target="http://www.myaccountingcourse.com/financial-ratios/margin-of-safety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ccountingformanagement.org/break-even-point-analysi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khanacademy.org/economics-finance-domain/microeconomics/firm-economic-profit/average-costs-tutorial/v/fixed-variable-and-marginal-cost" TargetMode="External"/><Relationship Id="rId11" Type="http://schemas.openxmlformats.org/officeDocument/2006/relationships/hyperlink" Target="http://accountingexplained.com/managerial/cvp-analysis/contribution-margin" TargetMode="External"/><Relationship Id="rId5" Type="http://schemas.openxmlformats.org/officeDocument/2006/relationships/hyperlink" Target="https://learn.umgc.edu/d2l/lms/discussions/messageLists/frame.d2l?ou=447253&amp;tId=2768743&amp;fId=0&amp;threadId=0&amp;postId=0&amp;groupFilterOption=0" TargetMode="External"/><Relationship Id="rId15" Type="http://schemas.openxmlformats.org/officeDocument/2006/relationships/hyperlink" Target="http://www.witiger.com/marketing/breakevenanalysis.htm" TargetMode="External"/><Relationship Id="rId10" Type="http://schemas.openxmlformats.org/officeDocument/2006/relationships/hyperlink" Target="http://www.financeformulas.net/Contribution-Margin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yaccountingcourse.com/accounting-dictionary/high-low-cost-method" TargetMode="External"/><Relationship Id="rId14" Type="http://schemas.openxmlformats.org/officeDocument/2006/relationships/hyperlink" Target="http://accountingexplained.com/managerial/cvp-analysis/break-even-point-equation-met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E0C9-9951-D84B-98FA-E094BBEDA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Marizel Brewington</cp:lastModifiedBy>
  <cp:revision>3</cp:revision>
  <dcterms:created xsi:type="dcterms:W3CDTF">2019-11-21T16:19:00Z</dcterms:created>
  <dcterms:modified xsi:type="dcterms:W3CDTF">2020-03-26T23:37:00Z</dcterms:modified>
</cp:coreProperties>
</file>